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E2E7A8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云海通过HBL发送ENS操作手册</w:t>
      </w:r>
    </w:p>
    <w:p w14:paraId="658F0B7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第一步：选择需要发送ENS的HBL单据</w:t>
      </w:r>
    </w:p>
    <w:p w14:paraId="5CDA85D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t>点击「HB/L列表」，根据过滤条件怎么需要发送ENS的HB/L</w:t>
      </w:r>
    </w:p>
    <w:p w14:paraId="3D2D7FAC">
      <w:r>
        <w:drawing>
          <wp:inline distT="0" distB="0" distL="114300" distR="114300">
            <wp:extent cx="5270500" cy="1962785"/>
            <wp:effectExtent l="0" t="0" r="1270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F43A6">
      <w:r>
        <w:drawing>
          <wp:inline distT="0" distB="0" distL="114300" distR="114300">
            <wp:extent cx="5265420" cy="1768475"/>
            <wp:effectExtent l="0" t="0" r="1778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B587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点击HB/L No</w:t>
      </w:r>
      <w:r>
        <w:rPr>
          <w:rFonts w:hint="default"/>
          <w:lang w:val="en-US" w:eastAsia="zh-CN"/>
        </w:rPr>
        <w:t>.</w:t>
      </w:r>
      <w:r>
        <w:rPr>
          <w:rFonts w:hint="eastAsia"/>
          <w:lang w:val="en-US" w:eastAsia="zh-CN"/>
        </w:rPr>
        <w:t>，进入HB/L详情界面，点击【动作】-【新建ENS】，进入ENS详情界面。</w:t>
      </w:r>
    </w:p>
    <w:p w14:paraId="534D88BC">
      <w:r>
        <w:drawing>
          <wp:inline distT="0" distB="0" distL="114300" distR="114300">
            <wp:extent cx="5266055" cy="1518285"/>
            <wp:effectExtent l="0" t="0" r="1714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51BC0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特别说明：</w:t>
      </w:r>
    </w:p>
    <w:p w14:paraId="45F2C15C"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当HB/L已经新建过ENS，系统会进行拦截判断，示例如下：</w:t>
      </w:r>
    </w:p>
    <w:p w14:paraId="16507BDD">
      <w:r>
        <w:drawing>
          <wp:inline distT="0" distB="0" distL="114300" distR="114300">
            <wp:extent cx="5274310" cy="208280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B46D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第二步：编辑ENS信息</w:t>
      </w:r>
    </w:p>
    <w:p w14:paraId="3CFDC426">
      <w:pPr>
        <w:rPr>
          <w:rFonts w:hint="eastAsia"/>
          <w:lang w:val="en-US" w:eastAsia="zh-CN"/>
        </w:rPr>
      </w:pPr>
    </w:p>
    <w:p w14:paraId="3FA18376"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通过HB/L详情界面，点击【新建ENS】，进入ENS编辑界面，如下：</w:t>
      </w:r>
    </w:p>
    <w:p w14:paraId="0C241083">
      <w:r>
        <w:drawing>
          <wp:inline distT="0" distB="0" distL="114300" distR="114300">
            <wp:extent cx="5266690" cy="4313555"/>
            <wp:effectExtent l="0" t="0" r="1651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7C66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数据会根据HBL内容自动填充（红色字体以及“*”表示发送时必填项）</w:t>
      </w:r>
    </w:p>
    <w:p w14:paraId="2FAC429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系统支持申报F14/F15/F16/F17</w:t>
      </w:r>
    </w:p>
    <w:p w14:paraId="7903B7C5">
      <w:r>
        <w:drawing>
          <wp:inline distT="0" distB="0" distL="114300" distR="114300">
            <wp:extent cx="5273040" cy="839470"/>
            <wp:effectExtent l="0" t="0" r="10160" b="241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51D7D">
      <w:pPr>
        <w:rPr>
          <w:rFonts w:hint="eastAsia"/>
          <w:b/>
          <w:bCs/>
          <w:color w:val="C00000"/>
          <w:highlight w:val="yellow"/>
          <w:u w:val="double"/>
          <w:lang w:val="en-US" w:eastAsia="zh-CN"/>
        </w:rPr>
      </w:pPr>
      <w:r>
        <w:rPr>
          <w:rFonts w:hint="eastAsia"/>
          <w:b/>
          <w:bCs/>
          <w:color w:val="C00000"/>
          <w:highlight w:val="yellow"/>
          <w:u w:val="double"/>
          <w:lang w:val="en-US" w:eastAsia="zh-CN"/>
        </w:rPr>
        <w:t>当选择申报F14/F15，需要注意以下几点：</w:t>
      </w:r>
    </w:p>
    <w:p w14:paraId="2BEB0C9D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需要确认是否有下层</w:t>
      </w:r>
    </w:p>
    <w:p w14:paraId="342C0D22">
      <w:pPr>
        <w:numPr>
          <w:numId w:val="0"/>
        </w:numPr>
      </w:pPr>
      <w:r>
        <w:drawing>
          <wp:inline distT="0" distB="0" distL="114300" distR="114300">
            <wp:extent cx="5271770" cy="887730"/>
            <wp:effectExtent l="0" t="0" r="1143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55E21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如果选择F14，有下层，需要申报下层EORI和下层申报类型</w:t>
      </w:r>
    </w:p>
    <w:p w14:paraId="5B2B03CC"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221355"/>
            <wp:effectExtent l="0" t="0" r="1460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0D4EF">
      <w:pPr>
        <w:numPr>
          <w:numId w:val="0"/>
        </w:numPr>
      </w:pPr>
    </w:p>
    <w:p w14:paraId="53F7F69F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当申报F15时，需要确认是否三方贸易</w:t>
      </w:r>
    </w:p>
    <w:p w14:paraId="081F99F6">
      <w:pPr>
        <w:numPr>
          <w:numId w:val="0"/>
        </w:numPr>
        <w:ind w:leftChars="0"/>
      </w:pPr>
      <w:r>
        <w:drawing>
          <wp:inline distT="0" distB="0" distL="114300" distR="114300">
            <wp:extent cx="5273675" cy="971550"/>
            <wp:effectExtent l="0" t="0" r="9525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8FC29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如果是三方贸易，除收/发/通外，需要额外提交Seller</w:t>
      </w:r>
      <w:r>
        <w:rPr>
          <w:rFonts w:hint="default"/>
          <w:lang w:val="en-US" w:eastAsia="zh-CN"/>
        </w:rPr>
        <w:t>/Buyer</w:t>
      </w:r>
      <w:r>
        <w:rPr>
          <w:rFonts w:hint="eastAsia"/>
          <w:lang w:val="en-US" w:eastAsia="zh-CN"/>
        </w:rPr>
        <w:t>，界面参考如下：</w:t>
      </w:r>
    </w:p>
    <w:p w14:paraId="11234A59">
      <w:pPr>
        <w:numPr>
          <w:numId w:val="0"/>
        </w:numPr>
        <w:ind w:leftChars="0"/>
      </w:pPr>
      <w:r>
        <w:drawing>
          <wp:inline distT="0" distB="0" distL="114300" distR="114300">
            <wp:extent cx="5271770" cy="3315970"/>
            <wp:effectExtent l="0" t="0" r="1143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B7A2E">
      <w:pPr>
        <w:numPr>
          <w:numId w:val="0"/>
        </w:numPr>
        <w:ind w:leftChars="0"/>
        <w:rPr>
          <w:rFonts w:hint="default"/>
          <w:lang w:val="en-US" w:eastAsia="zh-CN"/>
        </w:rPr>
      </w:pPr>
    </w:p>
    <w:p w14:paraId="64CD7DF3">
      <w:pPr>
        <w:rPr>
          <w:rFonts w:hint="eastAsia"/>
          <w:b/>
          <w:bCs/>
          <w:color w:val="C00000"/>
          <w:highlight w:val="yellow"/>
          <w:u w:val="double"/>
          <w:lang w:val="en-US" w:eastAsia="zh-CN"/>
        </w:rPr>
      </w:pPr>
      <w:r>
        <w:rPr>
          <w:rFonts w:hint="eastAsia"/>
          <w:b/>
          <w:bCs/>
          <w:color w:val="C00000"/>
          <w:highlight w:val="yellow"/>
          <w:u w:val="double"/>
          <w:lang w:val="en-US" w:eastAsia="zh-CN"/>
        </w:rPr>
        <w:t>当选择申报F16/F17，无需申报收/发/通，只需要申报seller</w:t>
      </w:r>
      <w:r>
        <w:rPr>
          <w:rFonts w:hint="default"/>
          <w:b/>
          <w:bCs/>
          <w:color w:val="C00000"/>
          <w:highlight w:val="yellow"/>
          <w:u w:val="double"/>
          <w:lang w:val="en-US" w:eastAsia="zh-CN"/>
        </w:rPr>
        <w:t>/buyer,</w:t>
      </w:r>
      <w:r>
        <w:rPr>
          <w:rFonts w:hint="eastAsia"/>
          <w:b/>
          <w:bCs/>
          <w:color w:val="C00000"/>
          <w:highlight w:val="yellow"/>
          <w:u w:val="double"/>
          <w:lang w:val="en-US" w:eastAsia="zh-CN"/>
        </w:rPr>
        <w:t>如下：</w:t>
      </w:r>
    </w:p>
    <w:p w14:paraId="24BDC76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4013835"/>
            <wp:effectExtent l="0" t="0" r="13970" b="247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3771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第三步：发送ENS</w:t>
      </w:r>
    </w:p>
    <w:p w14:paraId="6C8CF015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确认ENS数据准确无误后，发送ENS。系统支持通过EDI发送/修改/删除/重发四种场景。操作如下：</w:t>
      </w:r>
    </w:p>
    <w:p w14:paraId="07A343E1">
      <w:r>
        <w:drawing>
          <wp:inline distT="0" distB="0" distL="114300" distR="114300">
            <wp:extent cx="5273675" cy="11588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B719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1841500"/>
            <wp:effectExtent l="0" t="0" r="20955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7CA6">
      <w:pPr>
        <w:rPr>
          <w:rFonts w:hint="eastAsia"/>
          <w:lang w:val="en-US" w:eastAsia="zh-CN"/>
        </w:rPr>
      </w:pPr>
    </w:p>
    <w:p w14:paraId="6EB25B5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第四步：查看ENS回执</w:t>
      </w:r>
    </w:p>
    <w:p w14:paraId="6C33B80E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当ENS发送成功后，系统会记录发送时间以及发送状态</w:t>
      </w:r>
    </w:p>
    <w:p w14:paraId="7C4E4205">
      <w:r>
        <w:drawing>
          <wp:inline distT="0" distB="0" distL="114300" distR="114300">
            <wp:extent cx="5270500" cy="2666365"/>
            <wp:effectExtent l="0" t="0" r="1270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14A62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当ENS收到海关回执后，系统会记录ENS的详细海关回执，包括最新回执，历史回执记录以及</w:t>
      </w:r>
      <w:bookmarkStart w:id="0" w:name="_GoBack"/>
      <w:bookmarkEnd w:id="0"/>
      <w:r>
        <w:rPr>
          <w:rFonts w:hint="eastAsia"/>
          <w:lang w:val="en-US" w:eastAsia="zh-CN"/>
        </w:rPr>
        <w:t>海关指令</w:t>
      </w:r>
    </w:p>
    <w:p w14:paraId="3121EF8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最新回执：</w:t>
      </w:r>
    </w:p>
    <w:p w14:paraId="370679DB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单票查看最新回执</w:t>
      </w:r>
    </w:p>
    <w:p w14:paraId="0DAF5FD5">
      <w:r>
        <w:drawing>
          <wp:inline distT="0" distB="0" distL="114300" distR="114300">
            <wp:extent cx="5263515" cy="2413000"/>
            <wp:effectExtent l="0" t="0" r="1968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31645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列表查看最新回执</w:t>
      </w:r>
    </w:p>
    <w:p w14:paraId="1B16266A">
      <w:r>
        <w:drawing>
          <wp:inline distT="0" distB="0" distL="114300" distR="114300">
            <wp:extent cx="5274310" cy="2284730"/>
            <wp:effectExtent l="0" t="0" r="889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E193D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单票查看历史回执</w:t>
      </w:r>
    </w:p>
    <w:p w14:paraId="2CA6BCF7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375660"/>
            <wp:effectExtent l="0" t="0" r="14605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776F9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列表查看历史回执</w:t>
      </w:r>
    </w:p>
    <w:p w14:paraId="59800233">
      <w:r>
        <w:drawing>
          <wp:inline distT="0" distB="0" distL="114300" distR="114300">
            <wp:extent cx="5273675" cy="2676525"/>
            <wp:effectExtent l="0" t="0" r="9525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1D3CB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列表查看海关指令</w:t>
      </w:r>
    </w:p>
    <w:p w14:paraId="5248672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3121660"/>
            <wp:effectExtent l="0" t="0" r="889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D208F4"/>
    <w:multiLevelType w:val="singleLevel"/>
    <w:tmpl w:val="FBD208F4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ZmNmRmNzI5NzVkNjM4MDdiMGE5NTI5MGMyMTU3YzcifQ=="/>
  </w:docVars>
  <w:rsids>
    <w:rsidRoot w:val="7EDF6858"/>
    <w:rsid w:val="383E5623"/>
    <w:rsid w:val="6E5F6D0F"/>
    <w:rsid w:val="7EDF6858"/>
    <w:rsid w:val="D7FF8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78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2024-12-04T13:52:00Z</dcterms:created>
  <dc:creator>微信用户</dc:creator>
  <cp:lastModifiedBy>微信用户</cp:lastModifiedBy>
  <dcterms:modified xsi:type="dcterms:W3CDTF">2024-12-04T15:12:25Z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FFAF55F01ED0DDB014EE4F67C37A024E_41</vt:lpwstr>
  </property>
</Properties>
</file>