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1A817">
      <w:pPr>
        <w:spacing w:before="400" w:after="600"/>
        <w:jc w:val="center"/>
        <w:rPr>
          <w:rFonts w:hint="default" w:eastAsia="黑体"/>
          <w:lang w:val="en-US" w:eastAsia="zh-CN"/>
        </w:rPr>
      </w:pPr>
      <w:r>
        <w:rPr>
          <w:rFonts w:eastAsia="黑体"/>
          <w:b/>
          <w:color w:val="2B579A"/>
          <w:sz w:val="48"/>
        </w:rPr>
        <w:t>集装箱管理操作手册</w:t>
      </w:r>
      <w:r>
        <w:rPr>
          <w:rFonts w:hint="eastAsia" w:eastAsia="黑体"/>
          <w:b/>
          <w:color w:val="2B579A"/>
          <w:sz w:val="48"/>
          <w:lang w:val="en-US" w:eastAsia="zh-CN"/>
        </w:rPr>
        <w:t>V1.0</w:t>
      </w:r>
    </w:p>
    <w:p w14:paraId="40247959">
      <w:pPr>
        <w:pStyle w:val="2"/>
      </w:pPr>
      <w:r>
        <w:t>一、系统概述</w:t>
      </w:r>
    </w:p>
    <w:p w14:paraId="30D9C4E1">
      <w:r>
        <w:t>本系统是一款专业的集装箱全流程管理平台，支持集装箱的预留申请、用箱申请、买卖租赁、维修调拨等核心业务操作，实现集装箱资产的全生命周期数字化管理。</w:t>
      </w:r>
    </w:p>
    <w:p w14:paraId="2663CEA2">
      <w:r>
        <w:t>系统核心价值：通过自动化流程减少人工操作，实时追踪集装箱状态，精准计算各类费用，提升运营效率与财务透明度。</w:t>
      </w:r>
    </w:p>
    <w:p w14:paraId="2635584B">
      <w:pPr>
        <w:pStyle w:val="2"/>
      </w:pPr>
      <w:r>
        <w:t>二、适用范围</w:t>
      </w:r>
    </w:p>
    <w:p w14:paraId="5A6CFFEB">
      <w:pPr>
        <w:pStyle w:val="3"/>
      </w:pPr>
      <w:r>
        <w:t>2.1 目标用户</w:t>
      </w:r>
    </w:p>
    <w:p w14:paraId="3C90CF84">
      <w:pPr>
        <w:numPr>
          <w:ilvl w:val="0"/>
          <w:numId w:val="1"/>
        </w:numPr>
      </w:pPr>
      <w:r>
        <w:t>销售人员：发起预留申请、用箱申请，维护客户用箱信息</w:t>
      </w:r>
    </w:p>
    <w:p w14:paraId="26CC350A">
      <w:pPr>
        <w:numPr>
          <w:ilvl w:val="0"/>
          <w:numId w:val="1"/>
        </w:numPr>
      </w:pPr>
      <w:r>
        <w:t>运营人员：处理买箱、卖箱、短租、外租代理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吊机账单、堆存账单</w:t>
      </w:r>
      <w:r>
        <w:t>等业务操作</w:t>
      </w:r>
    </w:p>
    <w:p w14:paraId="08CB2C36">
      <w:pPr>
        <w:numPr>
          <w:ilvl w:val="0"/>
          <w:numId w:val="1"/>
        </w:numPr>
      </w:pPr>
      <w:r>
        <w:t>财务人员：</w:t>
      </w:r>
      <w:r>
        <w:rPr>
          <w:rFonts w:hint="eastAsia"/>
          <w:lang w:val="en-US" w:eastAsia="zh-CN"/>
        </w:rPr>
        <w:t>费用凭证生成、开票、核销操作</w:t>
      </w:r>
    </w:p>
    <w:p w14:paraId="1C790681">
      <w:pPr>
        <w:numPr>
          <w:ilvl w:val="0"/>
          <w:numId w:val="1"/>
        </w:numPr>
      </w:pPr>
      <w:r>
        <w:t>管理人员：查看数据统计、监控堆场使用情况、维护标准箱价</w:t>
      </w:r>
    </w:p>
    <w:p w14:paraId="1C9047E9">
      <w:pPr>
        <w:pStyle w:val="3"/>
      </w:pPr>
      <w:r>
        <w:t>2.2 使用场景</w:t>
      </w:r>
    </w:p>
    <w:p w14:paraId="3E58D909">
      <w:pPr>
        <w:numPr>
          <w:ilvl w:val="0"/>
          <w:numId w:val="1"/>
        </w:numPr>
      </w:pPr>
      <w:r>
        <w:t>日常操作：集装箱的进出库管理、租赁业务处理、费用</w:t>
      </w:r>
      <w:r>
        <w:rPr>
          <w:rFonts w:hint="eastAsia"/>
          <w:lang w:val="en-US" w:eastAsia="zh-CN"/>
        </w:rPr>
        <w:t>录入</w:t>
      </w:r>
    </w:p>
    <w:p w14:paraId="14F03ED8">
      <w:pPr>
        <w:numPr>
          <w:ilvl w:val="0"/>
          <w:numId w:val="1"/>
        </w:numPr>
      </w:pPr>
      <w:r>
        <w:t>库存管理：堆场状态监控、集装箱调拨、修箱管理</w:t>
      </w:r>
    </w:p>
    <w:p w14:paraId="4688E446">
      <w:pPr>
        <w:numPr>
          <w:ilvl w:val="0"/>
          <w:numId w:val="1"/>
        </w:numPr>
      </w:pPr>
      <w:r>
        <w:t>财务结算：</w:t>
      </w:r>
      <w:r>
        <w:rPr>
          <w:rFonts w:hint="eastAsia"/>
          <w:lang w:val="en-US" w:eastAsia="zh-CN"/>
        </w:rPr>
        <w:t>费用生成凭证、开票、核销</w:t>
      </w:r>
    </w:p>
    <w:p w14:paraId="3699DB84">
      <w:pPr>
        <w:pStyle w:val="2"/>
      </w:pPr>
      <w:r>
        <w:t>三、核心功能操作</w:t>
      </w:r>
    </w:p>
    <w:p w14:paraId="1569F409">
      <w:pPr>
        <w:pStyle w:val="3"/>
      </w:pPr>
      <w:r>
        <w:t>3.1 业务流程概览</w:t>
      </w:r>
    </w:p>
    <w:p w14:paraId="6615D3A3">
      <w:pPr>
        <w:spacing w:before="120" w:after="60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882900" cy="7508875"/>
            <wp:effectExtent l="0" t="0" r="3175" b="6350"/>
            <wp:docPr id="42" name="图片 42" descr="whiteboard_exported_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hiteboard_exported_image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99F5">
      <w:pPr>
        <w:spacing w:after="200"/>
        <w:jc w:val="center"/>
      </w:pPr>
      <w:r>
        <w:rPr>
          <w:color w:val="4B5563"/>
          <w:sz w:val="18"/>
        </w:rPr>
        <w:t>业务流程图</w:t>
      </w:r>
    </w:p>
    <w:p w14:paraId="7B880CE1">
      <w:pPr>
        <w:pStyle w:val="3"/>
      </w:pPr>
      <w:r>
        <w:t>3.2 预留申请</w:t>
      </w:r>
    </w:p>
    <w:p w14:paraId="3172C961">
      <w:r>
        <w:rPr>
          <w:b/>
        </w:rPr>
        <w:t>使用场景：</w:t>
      </w:r>
      <w:r>
        <w:t>销售为客户预留箱，会占用可用库存。从预留申请中发起用箱申请，会扣除预留库存。</w:t>
      </w:r>
    </w:p>
    <w:p w14:paraId="6F84262A">
      <w:pPr>
        <w:pStyle w:val="4"/>
      </w:pPr>
      <w:r>
        <w:t>操作步骤</w:t>
      </w:r>
    </w:p>
    <w:p w14:paraId="58E8E293">
      <w:pPr>
        <w:numPr>
          <w:ilvl w:val="0"/>
          <w:numId w:val="2"/>
        </w:numPr>
      </w:pPr>
      <w:r>
        <w:t>填写预留申请信息</w:t>
      </w:r>
    </w:p>
    <w:p w14:paraId="1D2C138C">
      <w:pPr>
        <w:spacing w:before="120" w:after="60"/>
        <w:jc w:val="center"/>
      </w:pPr>
      <w:r>
        <w:drawing>
          <wp:inline distT="0" distB="0" distL="0" distR="0">
            <wp:extent cx="5327650" cy="2432685"/>
            <wp:effectExtent l="0" t="0" r="0" b="0"/>
            <wp:docPr id="2" name="预留申请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预留申请界面"/>
                    <pic:cNvPicPr>
                      <a:picLocks noChangeAspect="1"/>
                    </pic:cNvPicPr>
                  </pic:nvPicPr>
                  <pic:blipFill>
                    <a:blip r:embed="rId9"/>
                    <a:srcRect t="12892" r="415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D23A">
      <w:pPr>
        <w:spacing w:after="200"/>
        <w:jc w:val="center"/>
      </w:pPr>
      <w:r>
        <w:rPr>
          <w:color w:val="4B5563"/>
          <w:sz w:val="18"/>
        </w:rPr>
        <w:t>预留申请界面</w:t>
      </w:r>
    </w:p>
    <w:p w14:paraId="77FCD8A7">
      <w:pPr>
        <w:numPr>
          <w:ilvl w:val="0"/>
          <w:numId w:val="2"/>
        </w:numPr>
      </w:pPr>
      <w:r>
        <w:t>点击“申请用箱”按钮，携带前面填写的信息</w:t>
      </w:r>
    </w:p>
    <w:p w14:paraId="42F980C8">
      <w:pPr>
        <w:spacing w:before="120" w:after="60"/>
        <w:jc w:val="center"/>
      </w:pPr>
      <w:r>
        <w:drawing>
          <wp:inline distT="0" distB="0" distL="0" distR="0">
            <wp:extent cx="5349240" cy="1690370"/>
            <wp:effectExtent l="0" t="0" r="0" b="0"/>
            <wp:docPr id="3" name="申请用箱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申请用箱按钮"/>
                    <pic:cNvPicPr>
                      <a:picLocks noChangeAspect="1"/>
                    </pic:cNvPicPr>
                  </pic:nvPicPr>
                  <pic:blipFill>
                    <a:blip r:embed="rId10"/>
                    <a:srcRect t="5064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05B30">
      <w:pPr>
        <w:spacing w:after="200"/>
        <w:jc w:val="center"/>
      </w:pPr>
      <w:r>
        <w:rPr>
          <w:color w:val="4B5563"/>
          <w:sz w:val="18"/>
        </w:rPr>
        <w:t>申请用箱按钮</w:t>
      </w:r>
    </w:p>
    <w:p w14:paraId="36973383">
      <w:pPr>
        <w:spacing w:before="120" w:after="60"/>
        <w:jc w:val="center"/>
      </w:pPr>
      <w:r>
        <w:drawing>
          <wp:inline distT="0" distB="0" distL="0" distR="0">
            <wp:extent cx="5171440" cy="1946275"/>
            <wp:effectExtent l="0" t="0" r="0" b="0"/>
            <wp:docPr id="4" name="信息自动携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信息自动携带"/>
                    <pic:cNvPicPr>
                      <a:picLocks noChangeAspect="1"/>
                    </pic:cNvPicPr>
                  </pic:nvPicPr>
                  <pic:blipFill>
                    <a:blip r:embed="rId11"/>
                    <a:srcRect l="2849" t="10849" r="487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BAE8">
      <w:pPr>
        <w:spacing w:after="200"/>
        <w:jc w:val="center"/>
      </w:pPr>
      <w:r>
        <w:rPr>
          <w:color w:val="4B5563"/>
          <w:sz w:val="18"/>
        </w:rPr>
        <w:t>信息自动携带</w:t>
      </w:r>
    </w:p>
    <w:p w14:paraId="1DAB1B3E">
      <w:pPr>
        <w:pBdr>
          <w:left w:val="single" w:color="4472C4" w:sz="18" w:space="0"/>
        </w:pBdr>
        <w:shd w:val="clear" w:fill="F0F5FF"/>
        <w:spacing w:before="120" w:after="200"/>
        <w:ind w:left="200"/>
      </w:pPr>
      <w:r>
        <w:rPr>
          <w:b/>
          <w:color w:val="4472C4"/>
        </w:rPr>
        <w:t>关键注意事项：</w:t>
      </w:r>
      <w:r>
        <w:br w:type="textWrapping"/>
      </w:r>
      <w:r>
        <w:rPr>
          <w:color w:val="4B5563"/>
        </w:rPr>
        <w:t>• 预留申请会占用可用库存，请确保库存充足</w:t>
      </w:r>
      <w:r>
        <w:br w:type="textWrapping"/>
      </w:r>
      <w:r>
        <w:rPr>
          <w:color w:val="4B5563"/>
        </w:rPr>
        <w:t>• 从预留申请发起的用箱申请会自动扣除预留库存</w:t>
      </w:r>
    </w:p>
    <w:p w14:paraId="385FD458">
      <w:pPr>
        <w:pStyle w:val="3"/>
      </w:pPr>
      <w:r>
        <w:t>3.3 用箱申请</w:t>
      </w:r>
    </w:p>
    <w:p w14:paraId="3FA9CDCE">
      <w:r>
        <w:rPr>
          <w:b/>
        </w:rPr>
        <w:t>使用场景：</w:t>
      </w:r>
      <w:r>
        <w:t>销售直接发起用箱申请，不走预留流程。</w:t>
      </w:r>
    </w:p>
    <w:p w14:paraId="5156C3C9">
      <w:pPr>
        <w:pStyle w:val="4"/>
      </w:pPr>
      <w:r>
        <w:t>操作步骤</w:t>
      </w:r>
    </w:p>
    <w:p w14:paraId="50806F93">
      <w:pPr>
        <w:numPr>
          <w:ilvl w:val="0"/>
          <w:numId w:val="3"/>
        </w:numPr>
      </w:pPr>
      <w:r>
        <w:t>填写用箱申请信息</w:t>
      </w:r>
    </w:p>
    <w:p w14:paraId="39A71F4D">
      <w:pPr>
        <w:spacing w:before="120" w:after="60"/>
        <w:jc w:val="center"/>
      </w:pPr>
      <w:r>
        <w:drawing>
          <wp:inline distT="0" distB="0" distL="0" distR="0">
            <wp:extent cx="5360670" cy="1805305"/>
            <wp:effectExtent l="0" t="0" r="0" b="0"/>
            <wp:docPr id="5" name="用箱申请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用箱申请界面"/>
                    <pic:cNvPicPr>
                      <a:picLocks noChangeAspect="1"/>
                    </pic:cNvPicPr>
                  </pic:nvPicPr>
                  <pic:blipFill>
                    <a:blip r:embed="rId12"/>
                    <a:srcRect t="10710" r="-202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6290">
      <w:pPr>
        <w:spacing w:after="200"/>
        <w:jc w:val="center"/>
      </w:pPr>
      <w:r>
        <w:rPr>
          <w:color w:val="4B5563"/>
          <w:sz w:val="18"/>
        </w:rPr>
        <w:t>用箱申请界面</w:t>
      </w:r>
    </w:p>
    <w:p w14:paraId="7FE953FD">
      <w:pPr>
        <w:numPr>
          <w:ilvl w:val="0"/>
          <w:numId w:val="3"/>
        </w:numPr>
      </w:pPr>
      <w:r>
        <w:t>填写完成后，点击动作里面的“生成动态”</w:t>
      </w:r>
    </w:p>
    <w:p w14:paraId="1C3B0B0F">
      <w:pPr>
        <w:spacing w:before="120" w:after="60"/>
        <w:jc w:val="center"/>
      </w:pPr>
      <w:r>
        <w:drawing>
          <wp:inline distT="0" distB="0" distL="0" distR="0">
            <wp:extent cx="5361940" cy="2127885"/>
            <wp:effectExtent l="0" t="0" r="0" b="0"/>
            <wp:docPr id="6" name="生成动态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生成动态按钮"/>
                    <pic:cNvPicPr>
                      <a:picLocks noChangeAspect="1"/>
                    </pic:cNvPicPr>
                  </pic:nvPicPr>
                  <pic:blipFill>
                    <a:blip r:embed="rId13"/>
                    <a:srcRect t="7149" r="-226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54B7">
      <w:pPr>
        <w:spacing w:after="200"/>
        <w:jc w:val="center"/>
      </w:pPr>
      <w:r>
        <w:rPr>
          <w:color w:val="4B5563"/>
          <w:sz w:val="18"/>
        </w:rPr>
        <w:t>生成动态按钮</w:t>
      </w:r>
    </w:p>
    <w:p w14:paraId="5A16017F">
      <w:pPr>
        <w:numPr>
          <w:ilvl w:val="0"/>
          <w:numId w:val="3"/>
        </w:numPr>
      </w:pPr>
      <w:r>
        <w:t>系统根据选择的申请类型生成对应的用箱动态（可配置审核完后自动生成）</w:t>
      </w:r>
    </w:p>
    <w:p w14:paraId="6E53EC1A">
      <w:pPr>
        <w:pBdr>
          <w:left w:val="single" w:color="4472C4" w:sz="18" w:space="0"/>
        </w:pBdr>
        <w:shd w:val="clear" w:fill="F0F5FF"/>
        <w:spacing w:before="120" w:after="200"/>
        <w:ind w:left="200"/>
      </w:pPr>
      <w:r>
        <w:rPr>
          <w:b/>
          <w:color w:val="4472C4"/>
        </w:rPr>
        <w:t>关键注意事项：</w:t>
      </w:r>
      <w:r>
        <w:br w:type="textWrapping"/>
      </w:r>
      <w:r>
        <w:rPr>
          <w:color w:val="4B5563"/>
        </w:rPr>
        <w:t>• 短租：租用自己的箱子</w:t>
      </w:r>
      <w:r>
        <w:br w:type="textWrapping"/>
      </w:r>
      <w:r>
        <w:rPr>
          <w:color w:val="4B5563"/>
        </w:rPr>
        <w:t>• 外租代理：向外部租箱公司租箱，仅单次使用，不进箱根长期管理，不影响库存</w:t>
      </w:r>
      <w:r>
        <w:br w:type="textWrapping"/>
      </w:r>
      <w:r>
        <w:rPr>
          <w:color w:val="4B5563"/>
        </w:rPr>
        <w:t>• 若外租箱需要长期管理使用，请使用【租进】功能</w:t>
      </w:r>
    </w:p>
    <w:p w14:paraId="35478AFF">
      <w:pPr>
        <w:spacing w:before="120" w:after="60"/>
        <w:jc w:val="center"/>
      </w:pPr>
      <w:r>
        <w:drawing>
          <wp:inline distT="0" distB="0" distL="0" distR="0">
            <wp:extent cx="3581400" cy="1238250"/>
            <wp:effectExtent l="0" t="0" r="0" b="0"/>
            <wp:docPr id="7" name="申请类型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申请类型说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307A">
      <w:pPr>
        <w:spacing w:after="200"/>
        <w:jc w:val="center"/>
      </w:pPr>
      <w:r>
        <w:rPr>
          <w:color w:val="4B5563"/>
          <w:sz w:val="18"/>
        </w:rPr>
        <w:t>申请类型说明</w:t>
      </w:r>
    </w:p>
    <w:p w14:paraId="6EAD116E">
      <w:pPr>
        <w:pStyle w:val="3"/>
      </w:pPr>
      <w:r>
        <w:t>3.4 买箱</w:t>
      </w:r>
    </w:p>
    <w:p w14:paraId="4A29EDBC">
      <w:pPr>
        <w:pStyle w:val="4"/>
      </w:pPr>
      <w:r>
        <w:t>操作步骤</w:t>
      </w:r>
    </w:p>
    <w:p w14:paraId="3D12BEA8">
      <w:pPr>
        <w:numPr>
          <w:ilvl w:val="0"/>
          <w:numId w:val="4"/>
        </w:numPr>
      </w:pPr>
      <w:r>
        <w:t>点击“新建动态”</w:t>
      </w:r>
    </w:p>
    <w:p w14:paraId="2AD800BC">
      <w:pPr>
        <w:spacing w:before="120" w:after="60"/>
        <w:jc w:val="center"/>
      </w:pPr>
      <w:r>
        <w:drawing>
          <wp:inline distT="0" distB="0" distL="0" distR="0">
            <wp:extent cx="5334635" cy="2088515"/>
            <wp:effectExtent l="0" t="0" r="0" b="0"/>
            <wp:docPr id="8" name="新建动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新建动态"/>
                    <pic:cNvPicPr>
                      <a:picLocks noChangeAspect="1"/>
                    </pic:cNvPicPr>
                  </pic:nvPicPr>
                  <pic:blipFill>
                    <a:blip r:embed="rId15"/>
                    <a:srcRect t="10625" r="285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C3BB">
      <w:pPr>
        <w:spacing w:before="120" w:after="60"/>
        <w:jc w:val="center"/>
      </w:pPr>
      <w:r>
        <w:drawing>
          <wp:inline distT="0" distB="0" distL="0" distR="0">
            <wp:extent cx="5342255" cy="1753235"/>
            <wp:effectExtent l="0" t="0" r="1270" b="8890"/>
            <wp:docPr id="9" name="买箱信息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买箱信息填写"/>
                    <pic:cNvPicPr>
                      <a:picLocks noChangeAspect="1"/>
                    </pic:cNvPicPr>
                  </pic:nvPicPr>
                  <pic:blipFill>
                    <a:blip r:embed="rId16"/>
                    <a:srcRect t="12377" r="142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5B75">
      <w:pPr>
        <w:spacing w:after="200"/>
        <w:jc w:val="center"/>
      </w:pPr>
      <w:r>
        <w:rPr>
          <w:color w:val="4B5563"/>
          <w:sz w:val="18"/>
        </w:rPr>
        <w:t>新建动态</w:t>
      </w:r>
    </w:p>
    <w:p w14:paraId="37A57D02">
      <w:pPr>
        <w:numPr>
          <w:ilvl w:val="0"/>
          <w:numId w:val="4"/>
        </w:numPr>
      </w:pPr>
      <w:r>
        <w:t>补充买箱信息，维护箱型箱量、价格、提箱堆场、买箱公司等必填项</w:t>
      </w:r>
    </w:p>
    <w:p w14:paraId="61F778FE">
      <w:pPr>
        <w:spacing w:before="120" w:after="60"/>
        <w:jc w:val="center"/>
      </w:pPr>
      <w:r>
        <w:drawing>
          <wp:inline distT="0" distB="0" distL="0" distR="0">
            <wp:extent cx="5349875" cy="1910080"/>
            <wp:effectExtent l="0" t="0" r="3175" b="4445"/>
            <wp:docPr id="10" name="生成虚拟箱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生成虚拟箱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191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59CC">
      <w:pPr>
        <w:spacing w:after="200"/>
        <w:jc w:val="center"/>
      </w:pPr>
      <w:r>
        <w:rPr>
          <w:color w:val="4B5563"/>
          <w:sz w:val="18"/>
        </w:rPr>
        <w:t>买箱信息填写</w:t>
      </w:r>
    </w:p>
    <w:p w14:paraId="25D07974">
      <w:pPr>
        <w:numPr>
          <w:ilvl w:val="0"/>
          <w:numId w:val="4"/>
        </w:numPr>
      </w:pPr>
      <w:r>
        <w:t>若买箱时不知道箱号，可点击“生成虚拟箱号”，后续有箱号后修改即可</w:t>
      </w:r>
      <w:r>
        <w:drawing>
          <wp:inline distT="0" distB="0" distL="0" distR="0">
            <wp:extent cx="5346065" cy="2008505"/>
            <wp:effectExtent l="0" t="0" r="6985" b="1270"/>
            <wp:docPr id="11" name="批量加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批量加箱"/>
                    <pic:cNvPicPr>
                      <a:picLocks noChangeAspect="1"/>
                    </pic:cNvPicPr>
                  </pic:nvPicPr>
                  <pic:blipFill>
                    <a:blip r:embed="rId18"/>
                    <a:srcRect t="2256" r="7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54EA">
      <w:pPr>
        <w:spacing w:after="200"/>
        <w:jc w:val="center"/>
      </w:pPr>
      <w:r>
        <w:rPr>
          <w:color w:val="4B5563"/>
          <w:sz w:val="18"/>
        </w:rPr>
        <w:t>生成虚拟箱号</w:t>
      </w:r>
    </w:p>
    <w:p w14:paraId="088EA04B">
      <w:pPr>
        <w:numPr>
          <w:ilvl w:val="0"/>
          <w:numId w:val="4"/>
        </w:numPr>
      </w:pPr>
      <w:r>
        <w:t>支持批量加箱操作</w:t>
      </w:r>
    </w:p>
    <w:p w14:paraId="0576481B">
      <w:pPr>
        <w:spacing w:after="200"/>
        <w:jc w:val="center"/>
        <w:rPr>
          <w:color w:val="4B5563"/>
          <w:sz w:val="18"/>
        </w:rPr>
      </w:pPr>
      <w:r>
        <w:drawing>
          <wp:inline distT="0" distB="0" distL="0" distR="0">
            <wp:extent cx="5309235" cy="2433955"/>
            <wp:effectExtent l="0" t="0" r="5715" b="4445"/>
            <wp:docPr id="12" name="转出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转出按钮"/>
                    <pic:cNvPicPr>
                      <a:picLocks noChangeAspect="1"/>
                    </pic:cNvPicPr>
                  </pic:nvPicPr>
                  <pic:blipFill>
                    <a:blip r:embed="rId19"/>
                    <a:srcRect t="3499" r="760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ED4B">
      <w:pPr>
        <w:spacing w:after="200"/>
        <w:jc w:val="center"/>
      </w:pPr>
      <w:r>
        <w:rPr>
          <w:color w:val="4B5563"/>
          <w:sz w:val="18"/>
        </w:rPr>
        <w:t>批量加箱</w:t>
      </w:r>
    </w:p>
    <w:p w14:paraId="21A804AF">
      <w:pPr>
        <w:pStyle w:val="4"/>
      </w:pPr>
      <w:r>
        <w:t>集装箱转出</w:t>
      </w:r>
    </w:p>
    <w:p w14:paraId="388A7C3D">
      <w:r>
        <w:t>把箱子给其他分支使用，如A公司买了箱子，但A公司和B公司都可使用：</w:t>
      </w:r>
    </w:p>
    <w:p w14:paraId="4D7F58EA">
      <w:pPr>
        <w:numPr>
          <w:ilvl w:val="0"/>
          <w:numId w:val="1"/>
        </w:numPr>
      </w:pPr>
      <w:r>
        <w:t>全部转出：点击上方按钮，全部给B公司使用</w:t>
      </w:r>
    </w:p>
    <w:p w14:paraId="0B21378A">
      <w:pPr>
        <w:numPr>
          <w:ilvl w:val="0"/>
          <w:numId w:val="1"/>
        </w:numPr>
      </w:pPr>
      <w:r>
        <w:t>部分转出：点击下方按钮，选择部分箱子给B公司使用</w:t>
      </w:r>
    </w:p>
    <w:p w14:paraId="3855A4D7">
      <w:pPr>
        <w:spacing w:before="120" w:after="60"/>
        <w:jc w:val="center"/>
      </w:pPr>
      <w:r>
        <w:drawing>
          <wp:inline distT="0" distB="0" distL="0" distR="0">
            <wp:extent cx="4708525" cy="2703195"/>
            <wp:effectExtent l="0" t="0" r="6350" b="1905"/>
            <wp:docPr id="13" name="转出操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转出操作"/>
                    <pic:cNvPicPr>
                      <a:picLocks noChangeAspect="1"/>
                    </pic:cNvPicPr>
                  </pic:nvPicPr>
                  <pic:blipFill>
                    <a:blip r:embed="rId20"/>
                    <a:srcRect t="9183" r="415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66AE">
      <w:pPr>
        <w:spacing w:before="120" w:after="60"/>
        <w:jc w:val="center"/>
      </w:pPr>
      <w:r>
        <w:drawing>
          <wp:inline distT="0" distB="0" distL="0" distR="0">
            <wp:extent cx="4765040" cy="2787015"/>
            <wp:effectExtent l="0" t="0" r="6985" b="3810"/>
            <wp:docPr id="14" name="转出后运营分支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转出后运营分支变更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D088">
      <w:pPr>
        <w:spacing w:after="200"/>
        <w:jc w:val="center"/>
      </w:pPr>
      <w:r>
        <w:rPr>
          <w:color w:val="4B5563"/>
          <w:sz w:val="18"/>
        </w:rPr>
        <w:t>转出操作</w:t>
      </w:r>
    </w:p>
    <w:p w14:paraId="203F135B">
      <w:pPr>
        <w:spacing w:after="200"/>
        <w:jc w:val="center"/>
        <w:rPr>
          <w:color w:val="4B5563"/>
          <w:sz w:val="18"/>
        </w:rPr>
      </w:pPr>
      <w:r>
        <w:drawing>
          <wp:inline distT="0" distB="0" distL="0" distR="0">
            <wp:extent cx="4652010" cy="2376170"/>
            <wp:effectExtent l="0" t="0" r="5715" b="5080"/>
            <wp:docPr id="16" name="卖箱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卖箱界面"/>
                    <pic:cNvPicPr>
                      <a:picLocks noChangeAspect="1"/>
                    </pic:cNvPicPr>
                  </pic:nvPicPr>
                  <pic:blipFill>
                    <a:blip r:embed="rId22"/>
                    <a:srcRect t="3234" r="-131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E713">
      <w:pPr>
        <w:spacing w:after="200"/>
        <w:jc w:val="center"/>
      </w:pPr>
      <w:r>
        <w:rPr>
          <w:color w:val="4B5563"/>
          <w:sz w:val="18"/>
        </w:rPr>
        <w:t>转出后运营分支变更</w:t>
      </w:r>
    </w:p>
    <w:p w14:paraId="23BFA6E3">
      <w:pPr>
        <w:pBdr>
          <w:left w:val="single" w:color="4472C4" w:sz="18" w:space="0"/>
        </w:pBdr>
        <w:shd w:val="clear" w:fill="F0F5FF"/>
        <w:spacing w:before="120" w:after="200"/>
        <w:ind w:left="200"/>
      </w:pPr>
      <w:r>
        <w:rPr>
          <w:b/>
          <w:color w:val="4472C4"/>
        </w:rPr>
        <w:t>关键注意事项：</w:t>
      </w:r>
      <w:r>
        <w:br w:type="textWrapping"/>
      </w:r>
      <w:r>
        <w:rPr>
          <w:color w:val="4B5563"/>
        </w:rPr>
        <w:t>• 转出后运营分支会变成允许使用的分支</w:t>
      </w:r>
      <w:r>
        <w:br w:type="textWrapping"/>
      </w:r>
      <w:r>
        <w:rPr>
          <w:color w:val="4B5563"/>
        </w:rPr>
        <w:t>• 不进行转出操作，运营分支仍是买箱公司</w:t>
      </w:r>
    </w:p>
    <w:p w14:paraId="793B9A9A">
      <w:pPr>
        <w:spacing w:before="120" w:after="60"/>
        <w:jc w:val="center"/>
      </w:pPr>
      <w:r>
        <w:drawing>
          <wp:inline distT="0" distB="0" distL="0" distR="0">
            <wp:extent cx="5386070" cy="2724150"/>
            <wp:effectExtent l="0" t="0" r="0" b="0"/>
            <wp:docPr id="15" name="未转出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未转出状态"/>
                    <pic:cNvPicPr>
                      <a:picLocks noChangeAspect="1"/>
                    </pic:cNvPicPr>
                  </pic:nvPicPr>
                  <pic:blipFill>
                    <a:blip r:embed="rId23"/>
                    <a:srcRect t="8470" r="-677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4D31">
      <w:pPr>
        <w:spacing w:after="200"/>
        <w:jc w:val="center"/>
        <w:rPr>
          <w:rFonts w:hint="default" w:eastAsia="微软雅黑"/>
          <w:lang w:val="en-US" w:eastAsia="zh-CN"/>
        </w:rPr>
      </w:pPr>
      <w:r>
        <w:rPr>
          <w:color w:val="4B5563"/>
          <w:sz w:val="18"/>
        </w:rPr>
        <w:t>转出</w:t>
      </w:r>
      <w:r>
        <w:rPr>
          <w:rFonts w:hint="eastAsia"/>
          <w:color w:val="4B5563"/>
          <w:sz w:val="18"/>
          <w:lang w:val="en-US" w:eastAsia="zh-CN"/>
        </w:rPr>
        <w:t>成功提示</w:t>
      </w:r>
    </w:p>
    <w:p w14:paraId="63286C42">
      <w:pPr>
        <w:pStyle w:val="3"/>
      </w:pPr>
      <w:r>
        <w:t>3.5 卖箱</w:t>
      </w:r>
    </w:p>
    <w:p w14:paraId="76A89EC7">
      <w:r>
        <w:t>与买箱类似，录入计划信息和真实信息即可。</w:t>
      </w:r>
    </w:p>
    <w:p w14:paraId="68797DE5">
      <w:pPr>
        <w:spacing w:before="120" w:after="60"/>
        <w:jc w:val="center"/>
      </w:pPr>
      <w:r>
        <w:drawing>
          <wp:inline distT="0" distB="0" distL="0" distR="0">
            <wp:extent cx="5353050" cy="2736215"/>
            <wp:effectExtent l="0" t="0" r="0" b="6985"/>
            <wp:docPr id="17" name="搜索可租箱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搜索可租箱子"/>
                    <pic:cNvPicPr>
                      <a:picLocks noChangeAspect="1"/>
                    </pic:cNvPicPr>
                  </pic:nvPicPr>
                  <pic:blipFill>
                    <a:blip r:embed="rId24"/>
                    <a:srcRect t="10023" r="-5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DAB1">
      <w:pPr>
        <w:spacing w:after="200"/>
        <w:jc w:val="center"/>
      </w:pPr>
      <w:r>
        <w:rPr>
          <w:color w:val="4B5563"/>
          <w:sz w:val="18"/>
        </w:rPr>
        <w:t>卖箱界面</w:t>
      </w:r>
    </w:p>
    <w:p w14:paraId="0190930B">
      <w:pPr>
        <w:pStyle w:val="3"/>
      </w:pPr>
      <w:r>
        <w:t>3.6 短租</w:t>
      </w:r>
    </w:p>
    <w:p w14:paraId="713C719C">
      <w:r>
        <w:t>短租是租用自己公司的箱子或其他公司转出运营权限的箱子。</w:t>
      </w:r>
    </w:p>
    <w:p w14:paraId="0C9E4638">
      <w:pPr>
        <w:pStyle w:val="4"/>
      </w:pPr>
      <w:r>
        <w:t>操作步骤</w:t>
      </w:r>
    </w:p>
    <w:p w14:paraId="5B85760B">
      <w:pPr>
        <w:numPr>
          <w:ilvl w:val="0"/>
          <w:numId w:val="5"/>
        </w:numPr>
      </w:pPr>
      <w:r>
        <w:t>点击左下角加号搜索可租用箱子</w:t>
      </w:r>
    </w:p>
    <w:p w14:paraId="0C5A9AA6">
      <w:pPr>
        <w:spacing w:before="120" w:after="60"/>
        <w:jc w:val="center"/>
      </w:pPr>
      <w:r>
        <w:drawing>
          <wp:inline distT="0" distB="0" distL="0" distR="0">
            <wp:extent cx="5217160" cy="2365375"/>
            <wp:effectExtent l="0" t="0" r="0" b="0"/>
            <wp:docPr id="18" name="箱子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箱子搜索结果"/>
                    <pic:cNvPicPr>
                      <a:picLocks noChangeAspect="1"/>
                    </pic:cNvPicPr>
                  </pic:nvPicPr>
                  <pic:blipFill>
                    <a:blip r:embed="rId25"/>
                    <a:srcRect l="2481" t="21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F08D">
      <w:pPr>
        <w:spacing w:after="200"/>
        <w:jc w:val="center"/>
        <w:rPr>
          <w:color w:val="4B5563"/>
          <w:sz w:val="18"/>
        </w:rPr>
      </w:pPr>
      <w:r>
        <w:drawing>
          <wp:inline distT="0" distB="0" distL="0" distR="0">
            <wp:extent cx="5158740" cy="2455545"/>
            <wp:effectExtent l="0" t="0" r="3810" b="1905"/>
            <wp:docPr id="19" name="维护提还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维护提还时间"/>
                    <pic:cNvPicPr>
                      <a:picLocks noChangeAspect="1"/>
                    </pic:cNvPicPr>
                  </pic:nvPicPr>
                  <pic:blipFill>
                    <a:blip r:embed="rId26"/>
                    <a:srcRect l="3573" t="477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AD8D">
      <w:pPr>
        <w:spacing w:after="200"/>
        <w:jc w:val="center"/>
      </w:pPr>
      <w:r>
        <w:rPr>
          <w:color w:val="4B5563"/>
          <w:sz w:val="18"/>
        </w:rPr>
        <w:t>搜索可租箱子</w:t>
      </w:r>
    </w:p>
    <w:p w14:paraId="3CF87011">
      <w:pPr>
        <w:numPr>
          <w:ilvl w:val="0"/>
          <w:numId w:val="5"/>
        </w:numPr>
      </w:pPr>
      <w:r>
        <w:t>提箱和还箱后分别维护提还时间</w:t>
      </w:r>
    </w:p>
    <w:p w14:paraId="3BC545CD">
      <w:pPr>
        <w:spacing w:before="120" w:after="60"/>
        <w:jc w:val="center"/>
      </w:pPr>
      <w:r>
        <w:drawing>
          <wp:inline distT="0" distB="0" distL="0" distR="0">
            <wp:extent cx="5253990" cy="2425700"/>
            <wp:effectExtent l="0" t="0" r="3810" b="3175"/>
            <wp:docPr id="20" name="外租代理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外租代理界面"/>
                    <pic:cNvPicPr>
                      <a:picLocks noChangeAspect="1"/>
                    </pic:cNvPicPr>
                  </pic:nvPicPr>
                  <pic:blipFill>
                    <a:blip r:embed="rId27"/>
                    <a:srcRect l="1792" t="614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5933">
      <w:pPr>
        <w:spacing w:after="200"/>
        <w:jc w:val="center"/>
      </w:pPr>
      <w:r>
        <w:rPr>
          <w:color w:val="4B5563"/>
          <w:sz w:val="18"/>
        </w:rPr>
        <w:t>维护提还时间</w:t>
      </w:r>
    </w:p>
    <w:p w14:paraId="7015E180">
      <w:pPr>
        <w:pStyle w:val="3"/>
      </w:pPr>
      <w:r>
        <w:t>3.7 外租代理</w:t>
      </w:r>
    </w:p>
    <w:p w14:paraId="0F4F00B9">
      <w:r>
        <w:t>外租是从外部租箱公司租的箱子，箱号手动输入，只用一次。</w:t>
      </w:r>
    </w:p>
    <w:p w14:paraId="758EF75A">
      <w:pPr>
        <w:spacing w:before="120" w:after="60"/>
        <w:jc w:val="center"/>
      </w:pPr>
      <w:r>
        <w:drawing>
          <wp:inline distT="0" distB="0" distL="0" distR="0">
            <wp:extent cx="5356225" cy="2546985"/>
            <wp:effectExtent l="0" t="0" r="6350" b="5715"/>
            <wp:docPr id="21" name="修箱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修箱模板"/>
                    <pic:cNvPicPr>
                      <a:picLocks noChangeAspect="1"/>
                    </pic:cNvPicPr>
                  </pic:nvPicPr>
                  <pic:blipFill>
                    <a:blip r:embed="rId28"/>
                    <a:srcRect l="-119" t="3997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AE6A">
      <w:pPr>
        <w:spacing w:after="200"/>
        <w:jc w:val="center"/>
      </w:pPr>
      <w:r>
        <w:rPr>
          <w:color w:val="4B5563"/>
          <w:sz w:val="18"/>
        </w:rPr>
        <w:t>外租代理界面</w:t>
      </w:r>
    </w:p>
    <w:p w14:paraId="0A43DF5C">
      <w:pPr>
        <w:pStyle w:val="3"/>
      </w:pPr>
      <w:r>
        <w:t>3.8 修箱</w:t>
      </w:r>
    </w:p>
    <w:p w14:paraId="6F533A64">
      <w:pPr>
        <w:pStyle w:val="4"/>
      </w:pPr>
      <w:r>
        <w:t>修箱模板</w:t>
      </w:r>
    </w:p>
    <w:p w14:paraId="232DD932">
      <w:r>
        <w:t>支持维护修箱信息模板，方便快速录入。</w:t>
      </w:r>
    </w:p>
    <w:p w14:paraId="740FFF2E">
      <w:pPr>
        <w:spacing w:before="120" w:after="60"/>
        <w:jc w:val="center"/>
      </w:pPr>
      <w:r>
        <w:drawing>
          <wp:inline distT="0" distB="0" distL="114300" distR="114300">
            <wp:extent cx="5295900" cy="3480435"/>
            <wp:effectExtent l="0" t="0" r="0" b="571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F8E33">
      <w:pPr>
        <w:spacing w:after="200"/>
        <w:jc w:val="center"/>
      </w:pPr>
      <w:r>
        <w:rPr>
          <w:color w:val="4B5563"/>
          <w:sz w:val="18"/>
        </w:rPr>
        <w:t>修箱模板</w:t>
      </w:r>
    </w:p>
    <w:p w14:paraId="6D3829BC">
      <w:pPr>
        <w:pStyle w:val="4"/>
      </w:pPr>
      <w:r>
        <w:t>修箱动态</w:t>
      </w:r>
    </w:p>
    <w:p w14:paraId="16393E2C">
      <w:pPr>
        <w:numPr>
          <w:ilvl w:val="0"/>
          <w:numId w:val="6"/>
        </w:numPr>
      </w:pPr>
      <w:r>
        <w:t>新建修箱动态，选择箱子</w:t>
      </w:r>
    </w:p>
    <w:p w14:paraId="541DDCF6">
      <w:pPr>
        <w:spacing w:before="120" w:after="60"/>
        <w:jc w:val="center"/>
      </w:pPr>
      <w:r>
        <w:drawing>
          <wp:inline distT="0" distB="0" distL="0" distR="0">
            <wp:extent cx="5349875" cy="2745740"/>
            <wp:effectExtent l="0" t="0" r="0" b="0"/>
            <wp:docPr id="22" name="修箱动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修箱动态界面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27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CAD8">
      <w:pPr>
        <w:spacing w:after="200"/>
        <w:jc w:val="center"/>
      </w:pPr>
      <w:r>
        <w:rPr>
          <w:color w:val="4B5563"/>
          <w:sz w:val="18"/>
        </w:rPr>
        <w:t>修箱动态界面</w:t>
      </w:r>
    </w:p>
    <w:p w14:paraId="25797BA7">
      <w:pPr>
        <w:numPr>
          <w:ilvl w:val="0"/>
          <w:numId w:val="6"/>
        </w:numPr>
      </w:pPr>
      <w:r>
        <w:t>支持使用修箱模板或手动添加需要修的箱部件</w:t>
      </w:r>
    </w:p>
    <w:p w14:paraId="704197F2">
      <w:pPr>
        <w:spacing w:before="120" w:after="60"/>
        <w:jc w:val="center"/>
      </w:pPr>
    </w:p>
    <w:p w14:paraId="1FA6DCAB">
      <w:pPr>
        <w:spacing w:before="120" w:after="60"/>
        <w:jc w:val="center"/>
      </w:pPr>
      <w:r>
        <w:drawing>
          <wp:inline distT="0" distB="0" distL="0" distR="0">
            <wp:extent cx="5109845" cy="2257425"/>
            <wp:effectExtent l="0" t="0" r="0" b="0"/>
            <wp:docPr id="24" name="上传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上传附件"/>
                    <pic:cNvPicPr>
                      <a:picLocks noChangeAspect="1"/>
                    </pic:cNvPicPr>
                  </pic:nvPicPr>
                  <pic:blipFill>
                    <a:blip r:embed="rId31"/>
                    <a:srcRect l="4487" t="861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889A">
      <w:pPr>
        <w:spacing w:after="200"/>
        <w:jc w:val="center"/>
      </w:pPr>
      <w:r>
        <w:rPr>
          <w:color w:val="4B5563"/>
          <w:sz w:val="18"/>
        </w:rPr>
        <w:t>选择修箱部件</w:t>
      </w:r>
    </w:p>
    <w:p w14:paraId="27B110BE">
      <w:pPr>
        <w:numPr>
          <w:ilvl w:val="0"/>
          <w:numId w:val="6"/>
        </w:numPr>
      </w:pPr>
      <w:r>
        <w:t>保存后可上传附件到具体部件位置</w:t>
      </w:r>
    </w:p>
    <w:p w14:paraId="36FA3A45">
      <w:pPr>
        <w:spacing w:before="120" w:after="60"/>
        <w:jc w:val="center"/>
      </w:pPr>
      <w:r>
        <w:drawing>
          <wp:inline distT="0" distB="0" distL="0" distR="0">
            <wp:extent cx="4999990" cy="3499485"/>
            <wp:effectExtent l="0" t="0" r="635" b="5715"/>
            <wp:docPr id="25" name="调拨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调拨界面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0001" cy="3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70B2">
      <w:pPr>
        <w:spacing w:after="200"/>
        <w:jc w:val="center"/>
      </w:pPr>
      <w:r>
        <w:rPr>
          <w:color w:val="4B5563"/>
          <w:sz w:val="18"/>
        </w:rPr>
        <w:t>上传附件</w:t>
      </w:r>
    </w:p>
    <w:p w14:paraId="18F5194B">
      <w:pPr>
        <w:pStyle w:val="3"/>
      </w:pPr>
      <w:r>
        <w:t>3.9 调拨</w:t>
      </w:r>
    </w:p>
    <w:p w14:paraId="39CFF7E5">
      <w:r>
        <w:t>支持堆场间调拨集装箱，调整库存分布。</w:t>
      </w:r>
    </w:p>
    <w:p w14:paraId="72275165">
      <w:pPr>
        <w:spacing w:before="120" w:after="60"/>
        <w:jc w:val="center"/>
      </w:pPr>
    </w:p>
    <w:p w14:paraId="53074D19">
      <w:pPr>
        <w:spacing w:before="120" w:after="60"/>
        <w:jc w:val="center"/>
      </w:pPr>
      <w:r>
        <w:drawing>
          <wp:inline distT="0" distB="0" distL="0" distR="0">
            <wp:extent cx="5349875" cy="2386965"/>
            <wp:effectExtent l="0" t="0" r="0" b="0"/>
            <wp:docPr id="26" name="调拨界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调拨界面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23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78E9">
      <w:pPr>
        <w:spacing w:after="200"/>
        <w:jc w:val="center"/>
      </w:pPr>
      <w:r>
        <w:rPr>
          <w:color w:val="4B5563"/>
          <w:sz w:val="18"/>
        </w:rPr>
        <w:t>调拨界面</w:t>
      </w:r>
    </w:p>
    <w:p w14:paraId="4C4D6F7A">
      <w:pPr>
        <w:pStyle w:val="3"/>
      </w:pPr>
      <w:r>
        <w:t>3.10 财务流程</w:t>
      </w:r>
    </w:p>
    <w:p w14:paraId="125A7B78">
      <w:pPr>
        <w:pStyle w:val="4"/>
      </w:pPr>
      <w:r>
        <w:t>买箱费</w:t>
      </w:r>
    </w:p>
    <w:p w14:paraId="1F006F3F">
      <w:pPr>
        <w:numPr>
          <w:ilvl w:val="0"/>
          <w:numId w:val="7"/>
        </w:numPr>
      </w:pPr>
      <w:r>
        <w:t>在计划清单里维护单价</w:t>
      </w:r>
    </w:p>
    <w:p w14:paraId="45A4E757">
      <w:pPr>
        <w:numPr>
          <w:ilvl w:val="0"/>
          <w:numId w:val="0"/>
        </w:numPr>
        <w:ind w:left="360" w:leftChars="0"/>
      </w:pPr>
      <w:r>
        <w:drawing>
          <wp:inline distT="0" distB="0" distL="0" distR="0">
            <wp:extent cx="5349875" cy="2769870"/>
            <wp:effectExtent l="0" t="0" r="0" b="0"/>
            <wp:docPr id="43" name="套用费用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套用费用协议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27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2259">
      <w:pPr>
        <w:spacing w:after="200"/>
        <w:jc w:val="center"/>
      </w:pPr>
      <w:r>
        <w:rPr>
          <w:color w:val="4B5563"/>
          <w:sz w:val="18"/>
        </w:rPr>
        <w:t>维护单价</w:t>
      </w:r>
    </w:p>
    <w:p w14:paraId="4A78EFEF">
      <w:pPr>
        <w:numPr>
          <w:ilvl w:val="0"/>
          <w:numId w:val="7"/>
        </w:numPr>
      </w:pPr>
      <w:r>
        <w:t>买箱界面切换页签，点击编辑，套用费用协议</w:t>
      </w:r>
    </w:p>
    <w:p w14:paraId="56D7323F">
      <w:pPr>
        <w:spacing w:before="120" w:after="60"/>
        <w:jc w:val="center"/>
      </w:pPr>
    </w:p>
    <w:p w14:paraId="1E759B1D">
      <w:pPr>
        <w:spacing w:before="120" w:after="60"/>
        <w:jc w:val="center"/>
      </w:pPr>
      <w:r>
        <w:drawing>
          <wp:inline distT="0" distB="0" distL="0" distR="0">
            <wp:extent cx="5092065" cy="2102485"/>
            <wp:effectExtent l="0" t="0" r="3810" b="2540"/>
            <wp:docPr id="44" name="堆存账单自动计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堆存账单自动计算"/>
                    <pic:cNvPicPr>
                      <a:picLocks noChangeAspect="1"/>
                    </pic:cNvPicPr>
                  </pic:nvPicPr>
                  <pic:blipFill>
                    <a:blip r:embed="rId35"/>
                    <a:srcRect l="2777" t="411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2F37">
      <w:pPr>
        <w:spacing w:after="200"/>
        <w:jc w:val="center"/>
      </w:pPr>
      <w:r>
        <w:rPr>
          <w:color w:val="4B5563"/>
          <w:sz w:val="18"/>
        </w:rPr>
        <w:t>套用费用协议</w:t>
      </w:r>
    </w:p>
    <w:p w14:paraId="1AB653E8">
      <w:pPr>
        <w:pBdr>
          <w:left w:val="single" w:color="4472C4" w:sz="18" w:space="0"/>
        </w:pBdr>
        <w:shd w:val="clear" w:fill="F0F5FF"/>
        <w:spacing w:before="120" w:after="200"/>
        <w:ind w:left="200"/>
      </w:pPr>
      <w:r>
        <w:rPr>
          <w:b/>
          <w:color w:val="4472C4"/>
        </w:rPr>
        <w:t>关键注意事项：</w:t>
      </w:r>
      <w:r>
        <w:br w:type="textWrapping"/>
      </w:r>
      <w:r>
        <w:rPr>
          <w:color w:val="4B5563"/>
        </w:rPr>
        <w:t>• 系统会根据计划清单自动生成费用</w:t>
      </w:r>
      <w:r>
        <w:br w:type="textWrapping"/>
      </w:r>
      <w:r>
        <w:rPr>
          <w:color w:val="4B5563"/>
        </w:rPr>
        <w:t>• 如需更改可单票修改</w:t>
      </w:r>
    </w:p>
    <w:p w14:paraId="0E50C8C2">
      <w:pPr>
        <w:pStyle w:val="4"/>
      </w:pPr>
      <w:r>
        <w:t>卖箱费和租箱费</w:t>
      </w:r>
    </w:p>
    <w:p w14:paraId="6F615192">
      <w:r>
        <w:t>与买箱费类似，在卖箱界面、短租或外租代理界面的费用页签套用费用协议即可。</w:t>
      </w:r>
    </w:p>
    <w:p w14:paraId="59004698">
      <w:pPr>
        <w:pStyle w:val="4"/>
      </w:pPr>
      <w:r>
        <w:t>堆存账单</w:t>
      </w:r>
    </w:p>
    <w:p w14:paraId="0EAB490A">
      <w:r>
        <w:t>支持自动生成日期范围内堆场所有箱子的堆存费用。两种计算模式：</w:t>
      </w:r>
    </w:p>
    <w:p w14:paraId="604F4563">
      <w:pPr>
        <w:numPr>
          <w:ilvl w:val="0"/>
          <w:numId w:val="1"/>
        </w:numPr>
      </w:pPr>
      <w:r>
        <w:t>出库结模式：统计日期范围内出场的箱子，计算从入场到出场的天数</w:t>
      </w:r>
    </w:p>
    <w:p w14:paraId="7CF423DC">
      <w:pPr>
        <w:numPr>
          <w:ilvl w:val="0"/>
          <w:numId w:val="1"/>
        </w:numPr>
      </w:pPr>
      <w:r>
        <w:t>月结模式：统计日期范围内未出场的箱子，计算在日期范围内的结算天数</w:t>
      </w:r>
    </w:p>
    <w:p w14:paraId="31EB5B45">
      <w:pPr>
        <w:numPr>
          <w:ilvl w:val="0"/>
          <w:numId w:val="8"/>
        </w:numPr>
      </w:pPr>
      <w:r>
        <w:t>补充开始日期、结算日期、堆场、计算模式，点击“自动计算”</w:t>
      </w:r>
    </w:p>
    <w:p w14:paraId="15A457CA">
      <w:pPr>
        <w:spacing w:before="120" w:after="60"/>
        <w:jc w:val="center"/>
      </w:pPr>
      <w:r>
        <w:drawing>
          <wp:inline distT="0" distB="0" distL="0" distR="0">
            <wp:extent cx="5218430" cy="2080260"/>
            <wp:effectExtent l="0" t="0" r="1270" b="5715"/>
            <wp:docPr id="30" name="生成堆存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生成堆存费"/>
                    <pic:cNvPicPr>
                      <a:picLocks noChangeAspect="1"/>
                    </pic:cNvPicPr>
                  </pic:nvPicPr>
                  <pic:blipFill>
                    <a:blip r:embed="rId36"/>
                    <a:srcRect r="-202" b="29867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0F3C">
      <w:pPr>
        <w:spacing w:after="200"/>
        <w:jc w:val="center"/>
      </w:pPr>
      <w:r>
        <w:rPr>
          <w:color w:val="4B5563"/>
          <w:sz w:val="18"/>
        </w:rPr>
        <w:t>堆存账单自动计算</w:t>
      </w:r>
    </w:p>
    <w:p w14:paraId="6681D08E">
      <w:pPr>
        <w:numPr>
          <w:ilvl w:val="0"/>
          <w:numId w:val="8"/>
        </w:numPr>
      </w:pPr>
      <w:r>
        <w:t>点击费用页签，套用费用协议生成堆存费</w:t>
      </w:r>
    </w:p>
    <w:p w14:paraId="024FF7E3">
      <w:pPr>
        <w:spacing w:before="120" w:after="60"/>
        <w:jc w:val="center"/>
      </w:pPr>
      <w:r>
        <w:drawing>
          <wp:inline distT="0" distB="0" distL="0" distR="0">
            <wp:extent cx="5225415" cy="2780665"/>
            <wp:effectExtent l="0" t="0" r="3810" b="635"/>
            <wp:docPr id="31" name="吊机费自动计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吊机费自动计算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3644">
      <w:pPr>
        <w:spacing w:after="200"/>
        <w:jc w:val="center"/>
      </w:pPr>
      <w:r>
        <w:rPr>
          <w:color w:val="4B5563"/>
          <w:sz w:val="18"/>
        </w:rPr>
        <w:t>生成堆存费</w:t>
      </w:r>
    </w:p>
    <w:p w14:paraId="1E7501DE">
      <w:pPr>
        <w:pStyle w:val="4"/>
      </w:pPr>
      <w:r>
        <w:t>吊机费</w:t>
      </w:r>
    </w:p>
    <w:p w14:paraId="7F991C0E">
      <w:r>
        <w:t>支持自动生成日期范围内堆场所有箱子的吊机费用。三种计算模式：</w:t>
      </w:r>
    </w:p>
    <w:p w14:paraId="3213F52C">
      <w:pPr>
        <w:numPr>
          <w:ilvl w:val="0"/>
          <w:numId w:val="1"/>
        </w:numPr>
      </w:pPr>
      <w:r>
        <w:t>进场收费：日期范围内进场的箱子，收取吊上吊下费用</w:t>
      </w:r>
    </w:p>
    <w:p w14:paraId="5F21951E">
      <w:pPr>
        <w:numPr>
          <w:ilvl w:val="0"/>
          <w:numId w:val="1"/>
        </w:numPr>
      </w:pPr>
      <w:r>
        <w:t>进出场收费：日期范围内进场或出场的箱子，分别收取吊上吊下费用</w:t>
      </w:r>
    </w:p>
    <w:p w14:paraId="3B6C1EEC">
      <w:pPr>
        <w:numPr>
          <w:ilvl w:val="0"/>
          <w:numId w:val="1"/>
        </w:numPr>
      </w:pPr>
      <w:r>
        <w:t>出场收费：日期范围内出场的箱子，收取吊上吊下费用</w:t>
      </w:r>
    </w:p>
    <w:p w14:paraId="29FF2087">
      <w:pPr>
        <w:numPr>
          <w:ilvl w:val="0"/>
          <w:numId w:val="8"/>
        </w:numPr>
      </w:pPr>
      <w:r>
        <w:t>补充开始日期、结算日期、堆场、结款方式，点击“自动计算”</w:t>
      </w:r>
    </w:p>
    <w:p w14:paraId="7C64A875">
      <w:pPr>
        <w:spacing w:before="120" w:after="60"/>
        <w:jc w:val="center"/>
      </w:pPr>
      <w:r>
        <w:drawing>
          <wp:inline distT="0" distB="0" distL="0" distR="0">
            <wp:extent cx="5349875" cy="2270760"/>
            <wp:effectExtent l="0" t="0" r="0" b="0"/>
            <wp:docPr id="32" name="生成吊机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生成吊机费"/>
                    <pic:cNvPicPr>
                      <a:picLocks noChangeAspect="1"/>
                    </pic:cNvPicPr>
                  </pic:nvPicPr>
                  <pic:blipFill>
                    <a:blip r:embed="rId38"/>
                    <a:srcRect b="8752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C90D">
      <w:pPr>
        <w:spacing w:after="200"/>
        <w:jc w:val="center"/>
      </w:pPr>
      <w:r>
        <w:rPr>
          <w:color w:val="4B5563"/>
          <w:sz w:val="18"/>
        </w:rPr>
        <w:t>吊机费自动计算</w:t>
      </w:r>
      <w:bookmarkStart w:id="0" w:name="_GoBack"/>
      <w:bookmarkEnd w:id="0"/>
    </w:p>
    <w:p w14:paraId="1F450DC8">
      <w:pPr>
        <w:numPr>
          <w:ilvl w:val="0"/>
          <w:numId w:val="8"/>
        </w:numPr>
      </w:pPr>
      <w:r>
        <w:t>点击费用页签，套用费用协议生成吊机费</w:t>
      </w:r>
    </w:p>
    <w:p w14:paraId="41C71509">
      <w:pPr>
        <w:spacing w:before="120" w:after="60"/>
        <w:jc w:val="center"/>
      </w:pPr>
      <w:r>
        <w:drawing>
          <wp:inline distT="0" distB="0" distL="0" distR="0">
            <wp:extent cx="5349875" cy="2846705"/>
            <wp:effectExtent l="0" t="0" r="3175" b="1270"/>
            <wp:docPr id="33" name="箱根维护查看历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箱根维护查看历史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28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6800">
      <w:pPr>
        <w:spacing w:after="200"/>
        <w:jc w:val="center"/>
        <w:rPr>
          <w:color w:val="4B5563"/>
          <w:sz w:val="18"/>
        </w:rPr>
      </w:pPr>
      <w:r>
        <w:rPr>
          <w:color w:val="4B5563"/>
          <w:sz w:val="18"/>
        </w:rPr>
        <w:t>生成吊机费</w:t>
      </w:r>
    </w:p>
    <w:p w14:paraId="5302D2B3">
      <w:pPr>
        <w:pStyle w:val="3"/>
      </w:pPr>
      <w:r>
        <w:t>3.11 数据统计</w:t>
      </w:r>
    </w:p>
    <w:p w14:paraId="20835224">
      <w:pPr>
        <w:pStyle w:val="4"/>
      </w:pPr>
      <w:r>
        <w:t>查看单箱历史动态</w:t>
      </w:r>
    </w:p>
    <w:p w14:paraId="7CF9D60D">
      <w:r>
        <w:t>可进入箱根维护查看动态历史，或点击历史动态搜索。</w:t>
      </w:r>
    </w:p>
    <w:p w14:paraId="54B58944">
      <w:pPr>
        <w:spacing w:before="120" w:after="60"/>
        <w:jc w:val="center"/>
      </w:pPr>
      <w:r>
        <w:drawing>
          <wp:inline distT="0" distB="0" distL="0" distR="0">
            <wp:extent cx="4108450" cy="2978150"/>
            <wp:effectExtent l="0" t="0" r="0" b="0"/>
            <wp:docPr id="34" name="历史动态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历史动态搜索"/>
                    <pic:cNvPicPr>
                      <a:picLocks noChangeAspect="1"/>
                    </pic:cNvPicPr>
                  </pic:nvPicPr>
                  <pic:blipFill>
                    <a:blip r:embed="rId40"/>
                    <a:srcRect l="2717" t="9381" r="15910" b="5516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4B46">
      <w:pPr>
        <w:spacing w:before="120" w:after="60"/>
        <w:jc w:val="center"/>
      </w:pPr>
      <w:r>
        <w:drawing>
          <wp:inline distT="0" distB="0" distL="0" distR="0">
            <wp:extent cx="4777105" cy="2612390"/>
            <wp:effectExtent l="0" t="0" r="4445" b="6985"/>
            <wp:docPr id="35" name="堆场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堆场状态"/>
                    <pic:cNvPicPr>
                      <a:picLocks noChangeAspect="1"/>
                    </pic:cNvPicPr>
                  </pic:nvPicPr>
                  <pic:blipFill>
                    <a:blip r:embed="rId41"/>
                    <a:srcRect l="-368" t="9137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FD47">
      <w:pPr>
        <w:spacing w:after="200"/>
        <w:jc w:val="center"/>
      </w:pPr>
      <w:r>
        <w:rPr>
          <w:color w:val="4B5563"/>
          <w:sz w:val="18"/>
        </w:rPr>
        <w:t>箱根维护查看历史</w:t>
      </w:r>
    </w:p>
    <w:p w14:paraId="67D1A1D5">
      <w:pPr>
        <w:spacing w:before="120" w:after="60"/>
        <w:jc w:val="center"/>
      </w:pPr>
      <w:r>
        <w:drawing>
          <wp:inline distT="0" distB="0" distL="114300" distR="114300">
            <wp:extent cx="4606290" cy="2191385"/>
            <wp:effectExtent l="0" t="0" r="3810" b="889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DA67">
      <w:pPr>
        <w:spacing w:after="200"/>
        <w:jc w:val="center"/>
      </w:pPr>
      <w:r>
        <w:rPr>
          <w:color w:val="4B5563"/>
          <w:sz w:val="18"/>
        </w:rPr>
        <w:t>历史动态搜索</w:t>
      </w:r>
    </w:p>
    <w:p w14:paraId="063827D6">
      <w:pPr>
        <w:pStyle w:val="4"/>
      </w:pPr>
      <w:r>
        <w:t>堆场箱子使用情况</w:t>
      </w:r>
    </w:p>
    <w:p w14:paraId="74F60B1F">
      <w:pPr>
        <w:numPr>
          <w:ilvl w:val="0"/>
          <w:numId w:val="1"/>
        </w:numPr>
      </w:pPr>
      <w:r>
        <w:t>堆场状态：查看各堆场集装箱数量（实际数量、预留数量、修箱数量、可用数量等）</w:t>
      </w:r>
    </w:p>
    <w:p w14:paraId="54850EE0">
      <w:pPr>
        <w:numPr>
          <w:ilvl w:val="0"/>
          <w:numId w:val="1"/>
        </w:numPr>
      </w:pPr>
      <w:r>
        <w:t>堆场状态明细：查看各堆场集装箱明细及当前状态</w:t>
      </w:r>
    </w:p>
    <w:p w14:paraId="39E8BB21">
      <w:pPr>
        <w:spacing w:before="120" w:after="60"/>
        <w:jc w:val="center"/>
      </w:pPr>
      <w:r>
        <w:drawing>
          <wp:inline distT="0" distB="0" distL="0" distR="0">
            <wp:extent cx="3784600" cy="3018155"/>
            <wp:effectExtent l="0" t="0" r="6350" b="1270"/>
            <wp:docPr id="36" name="堆场状态明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堆场状态明细1"/>
                    <pic:cNvPicPr>
                      <a:picLocks noChangeAspect="1"/>
                    </pic:cNvPicPr>
                  </pic:nvPicPr>
                  <pic:blipFill>
                    <a:blip r:embed="rId43"/>
                    <a:srcRect l="3336" t="10143" r="11339" b="3611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043A">
      <w:pPr>
        <w:spacing w:after="200"/>
        <w:jc w:val="center"/>
      </w:pPr>
      <w:r>
        <w:rPr>
          <w:color w:val="4B5563"/>
          <w:sz w:val="18"/>
        </w:rPr>
        <w:t>堆场状态</w:t>
      </w:r>
    </w:p>
    <w:p w14:paraId="3BD5EA4C">
      <w:pPr>
        <w:spacing w:after="200"/>
        <w:jc w:val="center"/>
        <w:rPr>
          <w:color w:val="4B5563"/>
          <w:sz w:val="18"/>
        </w:rPr>
      </w:pPr>
      <w:r>
        <w:drawing>
          <wp:inline distT="0" distB="0" distL="0" distR="0">
            <wp:extent cx="5349875" cy="3369310"/>
            <wp:effectExtent l="0" t="0" r="3175" b="2540"/>
            <wp:docPr id="38" name="集装箱最新状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集装箱最新状态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0000" cy="336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8BA2">
      <w:pPr>
        <w:spacing w:after="200"/>
        <w:jc w:val="center"/>
      </w:pPr>
      <w:r>
        <w:rPr>
          <w:color w:val="4B5563"/>
          <w:sz w:val="18"/>
        </w:rPr>
        <w:t>堆场状态明细1</w:t>
      </w:r>
    </w:p>
    <w:p w14:paraId="2029582A">
      <w:pPr>
        <w:spacing w:before="120" w:after="60"/>
        <w:jc w:val="center"/>
      </w:pPr>
      <w:r>
        <w:drawing>
          <wp:inline distT="0" distB="0" distL="0" distR="0">
            <wp:extent cx="5099685" cy="2962910"/>
            <wp:effectExtent l="0" t="0" r="0" b="0"/>
            <wp:docPr id="37" name="堆场状态明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堆场状态明细2"/>
                    <pic:cNvPicPr>
                      <a:picLocks noChangeAspect="1"/>
                    </pic:cNvPicPr>
                  </pic:nvPicPr>
                  <pic:blipFill>
                    <a:blip r:embed="rId45"/>
                    <a:srcRect l="3442" t="6996" r="1234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F746">
      <w:pPr>
        <w:spacing w:after="200"/>
        <w:jc w:val="center"/>
      </w:pPr>
      <w:r>
        <w:rPr>
          <w:color w:val="4B5563"/>
          <w:sz w:val="18"/>
        </w:rPr>
        <w:t>堆场状态明细2</w:t>
      </w:r>
    </w:p>
    <w:p w14:paraId="446896A4">
      <w:pPr>
        <w:pStyle w:val="4"/>
      </w:pPr>
      <w:r>
        <w:t>集装箱最新状态</w:t>
      </w:r>
    </w:p>
    <w:p w14:paraId="7CC95EB5">
      <w:pPr>
        <w:spacing w:before="120" w:after="60"/>
        <w:jc w:val="center"/>
      </w:pPr>
      <w:r>
        <w:drawing>
          <wp:inline distT="0" distB="0" distL="0" distR="0">
            <wp:extent cx="4224655" cy="3051175"/>
            <wp:effectExtent l="0" t="0" r="0" b="0"/>
            <wp:docPr id="39" name="集装箱最新状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集装箱最新状态2"/>
                    <pic:cNvPicPr>
                      <a:picLocks noChangeAspect="1"/>
                    </pic:cNvPicPr>
                  </pic:nvPicPr>
                  <pic:blipFill>
                    <a:blip r:embed="rId46"/>
                    <a:srcRect l="5318" t="4975" r="15715" b="4467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33FA">
      <w:pPr>
        <w:spacing w:after="200"/>
        <w:jc w:val="center"/>
      </w:pPr>
      <w:r>
        <w:rPr>
          <w:color w:val="4B5563"/>
          <w:sz w:val="18"/>
        </w:rPr>
        <w:t>集装箱最新状态1</w:t>
      </w:r>
    </w:p>
    <w:p w14:paraId="3BC12CB1">
      <w:pPr>
        <w:spacing w:before="120" w:after="60"/>
        <w:jc w:val="center"/>
      </w:pPr>
      <w:r>
        <w:drawing>
          <wp:inline distT="0" distB="0" distL="0" distR="0">
            <wp:extent cx="5278120" cy="2159635"/>
            <wp:effectExtent l="0" t="0" r="0" b="0"/>
            <wp:docPr id="40" name="标准箱价管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标准箱价管理1"/>
                    <pic:cNvPicPr>
                      <a:picLocks noChangeAspect="1"/>
                    </pic:cNvPicPr>
                  </pic:nvPicPr>
                  <pic:blipFill>
                    <a:blip r:embed="rId47"/>
                    <a:srcRect l="1341" t="64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E0E9">
      <w:pPr>
        <w:spacing w:after="200"/>
        <w:jc w:val="center"/>
      </w:pPr>
      <w:r>
        <w:rPr>
          <w:color w:val="4B5563"/>
          <w:sz w:val="18"/>
        </w:rPr>
        <w:t>集装箱最新状态2</w:t>
      </w:r>
    </w:p>
    <w:p w14:paraId="76BB43FA">
      <w:pPr>
        <w:pStyle w:val="4"/>
      </w:pPr>
      <w:r>
        <w:t>标准箱价管理</w:t>
      </w:r>
    </w:p>
    <w:p w14:paraId="5FA9FC26">
      <w:r>
        <w:t>维护各城市、各箱型集装箱的市场价格，维护好后可自动更新箱根管理中对应箱型的标准箱价。</w:t>
      </w:r>
    </w:p>
    <w:p w14:paraId="0E4526FB">
      <w:pPr>
        <w:spacing w:before="120" w:after="60"/>
        <w:jc w:val="center"/>
      </w:pPr>
      <w:r>
        <w:drawing>
          <wp:inline distT="0" distB="0" distL="0" distR="0">
            <wp:extent cx="4077335" cy="1846580"/>
            <wp:effectExtent l="0" t="0" r="0" b="0"/>
            <wp:docPr id="41" name="标准箱价管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标准箱价管理2"/>
                    <pic:cNvPicPr>
                      <a:picLocks noChangeAspect="1"/>
                    </pic:cNvPicPr>
                  </pic:nvPicPr>
                  <pic:blipFill>
                    <a:blip r:embed="rId48"/>
                    <a:srcRect b="14896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D97D">
      <w:pPr>
        <w:spacing w:after="200"/>
        <w:jc w:val="center"/>
        <w:rPr>
          <w:rFonts w:hint="eastAsia" w:eastAsia="微软雅黑"/>
          <w:color w:val="4B5563"/>
          <w:sz w:val="18"/>
          <w:lang w:val="en-US" w:eastAsia="zh-CN"/>
        </w:rPr>
      </w:pPr>
      <w:r>
        <w:rPr>
          <w:color w:val="4B5563"/>
          <w:sz w:val="18"/>
        </w:rPr>
        <w:t>标准箱价管理</w:t>
      </w:r>
      <w:r>
        <w:rPr>
          <w:rFonts w:hint="eastAsia"/>
          <w:color w:val="4B5563"/>
          <w:sz w:val="18"/>
          <w:lang w:val="en-US" w:eastAsia="zh-CN"/>
        </w:rPr>
        <w:t>1</w:t>
      </w:r>
    </w:p>
    <w:p w14:paraId="4ECB9D5F">
      <w:pPr>
        <w:spacing w:after="200"/>
        <w:jc w:val="center"/>
      </w:pPr>
      <w:r>
        <w:drawing>
          <wp:inline distT="0" distB="0" distL="114300" distR="114300">
            <wp:extent cx="4176395" cy="2622550"/>
            <wp:effectExtent l="0" t="0" r="5080" b="635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FADF">
      <w:pPr>
        <w:spacing w:after="200"/>
        <w:jc w:val="center"/>
        <w:rPr>
          <w:rFonts w:hint="eastAsia" w:eastAsia="微软雅黑"/>
          <w:lang w:val="en-US" w:eastAsia="zh-CN"/>
        </w:rPr>
      </w:pPr>
      <w:r>
        <w:rPr>
          <w:color w:val="4B5563"/>
          <w:sz w:val="18"/>
        </w:rPr>
        <w:t>标准箱价管理</w:t>
      </w:r>
      <w:r>
        <w:rPr>
          <w:rFonts w:hint="eastAsia"/>
          <w:color w:val="4B5563"/>
          <w:sz w:val="18"/>
          <w:lang w:val="en-US" w:eastAsia="zh-CN"/>
        </w:rPr>
        <w:t>2</w:t>
      </w:r>
    </w:p>
    <w:sectPr>
      <w:headerReference r:id="rId5" w:type="default"/>
      <w:footerReference r:id="rId6" w:type="default"/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1D27F">
    <w:pPr>
      <w:jc w:val="center"/>
    </w:pPr>
    <w:r>
      <w:rPr>
        <w:color w:val="9CA3AF"/>
        <w:sz w:val="18"/>
      </w:rPr>
      <w:t xml:space="preserve">- </w:t>
    </w:r>
    <w:r>
      <w:rPr>
        <w:color w:val="9CA3AF"/>
        <w:sz w:val="18"/>
      </w:rPr>
      <w:fldChar w:fldCharType="begin"/>
    </w:r>
    <w:r>
      <w:rPr>
        <w:color w:val="9CA3AF"/>
        <w:sz w:val="18"/>
      </w:rPr>
      <w:instrText xml:space="preserve"> PAGE </w:instrText>
    </w:r>
    <w:r>
      <w:rPr>
        <w:color w:val="9CA3AF"/>
        <w:sz w:val="18"/>
      </w:rPr>
      <w:fldChar w:fldCharType="separate"/>
    </w:r>
    <w:r>
      <w:rPr>
        <w:color w:val="9CA3AF"/>
        <w:sz w:val="18"/>
      </w:rPr>
      <w:t>1</w:t>
    </w:r>
    <w:r>
      <w:rPr>
        <w:color w:val="9CA3AF"/>
        <w:sz w:val="18"/>
      </w:rPr>
      <w:fldChar w:fldCharType="end"/>
    </w:r>
    <w:r>
      <w:rPr>
        <w:color w:val="9CA3AF"/>
        <w:sz w:val="18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20" w:lineRule="auto"/>
      </w:pPr>
      <w:r>
        <w:separator/>
      </w:r>
    </w:p>
  </w:footnote>
  <w:footnote w:type="continuationSeparator" w:id="1">
    <w:p>
      <w:pPr>
        <w:spacing w:before="0" w:after="0" w:line="32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E377E">
    <w:pPr>
      <w:pBdr>
        <w:bottom w:val="single" w:color="9CA3AF" w:sz="6" w:space="0"/>
      </w:pBdr>
      <w:jc w:val="right"/>
    </w:pPr>
    <w:r>
      <w:rPr>
        <w:color w:val="4B5563"/>
        <w:sz w:val="18"/>
      </w:rPr>
      <w:t>集装箱管理系统操作手册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FB5589"/>
    <w:multiLevelType w:val="singleLevel"/>
    <w:tmpl w:val="98FB5589"/>
    <w:lvl w:ilvl="0" w:tentative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C2B03A20"/>
    <w:multiLevelType w:val="singleLevel"/>
    <w:tmpl w:val="C2B03A20"/>
    <w:lvl w:ilvl="0" w:tentative="0">
      <w:start w:val="1"/>
      <w:numFmt w:val="decimal"/>
      <w:lvlText w:val="%1."/>
      <w:lvlJc w:val="left"/>
      <w:pPr>
        <w:ind w:left="720" w:hanging="360"/>
      </w:pPr>
    </w:lvl>
  </w:abstractNum>
  <w:abstractNum w:abstractNumId="2">
    <w:nsid w:val="C73A1D84"/>
    <w:multiLevelType w:val="singleLevel"/>
    <w:tmpl w:val="C73A1D84"/>
    <w:lvl w:ilvl="0" w:tentative="0">
      <w:start w:val="1"/>
      <w:numFmt w:val="decimal"/>
      <w:lvlText w:val="%1."/>
      <w:lvlJc w:val="left"/>
      <w:pPr>
        <w:ind w:left="720" w:hanging="360"/>
      </w:pPr>
    </w:lvl>
  </w:abstractNum>
  <w:abstractNum w:abstractNumId="3">
    <w:nsid w:val="CBAFFA9B"/>
    <w:multiLevelType w:val="singleLevel"/>
    <w:tmpl w:val="CBAFFA9B"/>
    <w:lvl w:ilvl="0" w:tentative="0">
      <w:start w:val="1"/>
      <w:numFmt w:val="decimal"/>
      <w:lvlText w:val="%1."/>
      <w:lvlJc w:val="left"/>
      <w:pPr>
        <w:ind w:left="720" w:hanging="360"/>
      </w:pPr>
    </w:lvl>
  </w:abstractNum>
  <w:abstractNum w:abstractNumId="4">
    <w:nsid w:val="CF092B84"/>
    <w:multiLevelType w:val="singleLevel"/>
    <w:tmpl w:val="CF092B84"/>
    <w:lvl w:ilvl="0" w:tentative="0">
      <w:start w:val="1"/>
      <w:numFmt w:val="decimal"/>
      <w:lvlText w:val="%1."/>
      <w:lvlJc w:val="left"/>
      <w:pPr>
        <w:ind w:left="720" w:hanging="360"/>
      </w:pPr>
    </w:lvl>
  </w:abstractNum>
  <w:abstractNum w:abstractNumId="5">
    <w:nsid w:val="0053208E"/>
    <w:multiLevelType w:val="singleLevel"/>
    <w:tmpl w:val="0053208E"/>
    <w:lvl w:ilvl="0" w:tentative="0">
      <w:start w:val="1"/>
      <w:numFmt w:val="bullet"/>
      <w:lvlText w:val="•"/>
      <w:lvlJc w:val="left"/>
      <w:pPr>
        <w:ind w:left="720" w:hanging="360"/>
      </w:pPr>
      <w:rPr>
        <w:rFonts w:ascii="Symbol" w:hAnsi="Symbol"/>
      </w:rPr>
    </w:lvl>
  </w:abstractNum>
  <w:abstractNum w:abstractNumId="6">
    <w:nsid w:val="66C0E965"/>
    <w:multiLevelType w:val="singleLevel"/>
    <w:tmpl w:val="66C0E965"/>
    <w:lvl w:ilvl="0" w:tentative="0">
      <w:start w:val="1"/>
      <w:numFmt w:val="decimal"/>
      <w:lvlText w:val="%1."/>
      <w:lvlJc w:val="left"/>
      <w:pPr>
        <w:ind w:left="720" w:hanging="360"/>
      </w:pPr>
    </w:lvl>
  </w:abstractNum>
  <w:abstractNum w:abstractNumId="7">
    <w:nsid w:val="6F3A8CFD"/>
    <w:multiLevelType w:val="singleLevel"/>
    <w:tmpl w:val="6F3A8CFD"/>
    <w:lvl w:ilvl="0" w:tentative="0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550683"/>
    <w:rsid w:val="181950FC"/>
    <w:rsid w:val="50BD3191"/>
    <w:rsid w:val="71060F6D"/>
    <w:rsid w:val="79815D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after="160" w:line="320" w:lineRule="auto"/>
    </w:pPr>
    <w:rPr>
      <w:rFonts w:ascii="Calibri" w:hAnsi="Calibri" w:eastAsia="微软雅黑" w:cstheme="minorBidi"/>
      <w:color w:val="1F2937"/>
      <w:sz w:val="21"/>
      <w:szCs w:val="22"/>
    </w:rPr>
  </w:style>
  <w:style w:type="paragraph" w:styleId="2">
    <w:name w:val="heading 1"/>
    <w:basedOn w:val="1"/>
    <w:uiPriority w:val="0"/>
    <w:pPr>
      <w:keepNext/>
      <w:keepLines/>
      <w:spacing w:before="400" w:after="200" w:line="240" w:lineRule="auto"/>
      <w:outlineLvl w:val="0"/>
    </w:pPr>
    <w:rPr>
      <w:rFonts w:eastAsia="黑体"/>
      <w:b/>
      <w:color w:val="2B579A"/>
      <w:sz w:val="32"/>
    </w:rPr>
  </w:style>
  <w:style w:type="paragraph" w:styleId="3">
    <w:name w:val="heading 2"/>
    <w:basedOn w:val="1"/>
    <w:uiPriority w:val="0"/>
    <w:pPr>
      <w:keepNext/>
      <w:keepLines/>
      <w:spacing w:before="300" w:after="120"/>
      <w:outlineLvl w:val="1"/>
    </w:pPr>
    <w:rPr>
      <w:rFonts w:eastAsia="黑体"/>
      <w:b/>
      <w:color w:val="4472C4"/>
      <w:sz w:val="26"/>
    </w:rPr>
  </w:style>
  <w:style w:type="paragraph" w:styleId="4">
    <w:name w:val="heading 3"/>
    <w:basedOn w:val="1"/>
    <w:uiPriority w:val="0"/>
    <w:pPr>
      <w:keepNext/>
      <w:spacing w:before="200" w:after="80"/>
      <w:outlineLvl w:val="2"/>
    </w:pPr>
    <w:rPr>
      <w:b/>
      <w:color w:val="1F2937"/>
      <w:sz w:val="2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Note"/>
    <w:basedOn w:val="1"/>
    <w:uiPriority w:val="0"/>
    <w:pPr>
      <w:spacing w:before="80" w:after="80"/>
      <w:ind w:left="240" w:right="240"/>
    </w:pPr>
    <w:rPr>
      <w:color w:val="B45309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TotalTime>2</TotalTime>
  <ScaleCrop>false</ScaleCrop>
  <LinksUpToDate>false</LinksUpToDate>
  <Application>WPS Office_12.8.2.18205_F1E327BC-269C-435d-A152-05C5408002CA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2026-02-04T03:20:00Z</dcterms:created>
  <dc:creator>Long</dc:creator>
  <cp:lastModifiedBy>Long</cp:lastModifiedBy>
  <dcterms:modified xsi:type="dcterms:W3CDTF">2026-02-05T00:31:44Z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0B09EB9F76634443A43A7C7DE09952DF_13</vt:lpwstr>
  </property>
</Properties>
</file>